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8A09" w14:textId="6BC79489" w:rsidR="005710DC" w:rsidRPr="004A362B" w:rsidRDefault="005710DC" w:rsidP="00C64F9A">
      <w:pPr>
        <w:shd w:val="clear" w:color="auto" w:fill="FFFFFF"/>
        <w:spacing w:before="330" w:after="165" w:line="240" w:lineRule="auto"/>
        <w:jc w:val="both"/>
        <w:outlineLvl w:val="2"/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</w:pPr>
      <w:r w:rsidRPr="004A362B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t xml:space="preserve">Gastos Generados por la Gestión de Cobranza </w:t>
      </w:r>
      <w:r w:rsidR="00D63179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t>Extrajudicial</w:t>
      </w:r>
    </w:p>
    <w:p w14:paraId="405E6166" w14:textId="38997E32" w:rsidR="005710DC" w:rsidRPr="004A362B" w:rsidRDefault="005710DC" w:rsidP="00C64F9A">
      <w:pPr>
        <w:shd w:val="clear" w:color="auto" w:fill="FFFFFF"/>
        <w:spacing w:after="270" w:line="240" w:lineRule="auto"/>
        <w:jc w:val="both"/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</w:pPr>
      <w:r w:rsidRPr="004A362B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 xml:space="preserve">La Gestión de Conciliación realizada por los Aliados Estratégicos autorizados por el Grupo Bancolombia podrá generar Gastos derivados del proceso de conciliación con el cliente el cual corresponde </w:t>
      </w:r>
      <w:r w:rsidRPr="00C64F9A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t>al 15% del valor adeudado</w:t>
      </w:r>
      <w:r w:rsidRPr="004A362B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 xml:space="preserve">. Dicho gasto debe ser asumido de manera directa por el cliente y debe pagarse en la red de sucursales de Bancolombia ya que los Aliados Estratégicos no están autorizados para recibir dineros directamente del cliente. Tratándose de Crédito de Vivienda y de Leasing Habitacional se informa que los gastos en que se incurra por concepto de Gestión de Conciliación </w:t>
      </w:r>
      <w:r w:rsidR="00361CE5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 xml:space="preserve">Prejudicial </w:t>
      </w:r>
      <w:r w:rsidR="000E2CBC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 xml:space="preserve">o Extrajudicial </w:t>
      </w:r>
      <w:r w:rsidRPr="004A362B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>correrán por cuenta de la respectiva entidad financiera hasta el momento en que se presente la correspondiente demanda judicial, momento a partir del cual los gastos judiciales serán a cargo del deudor.</w:t>
      </w:r>
    </w:p>
    <w:p w14:paraId="7FCB4FA1" w14:textId="77777777" w:rsidR="005710DC" w:rsidRPr="004A362B" w:rsidRDefault="005710DC" w:rsidP="00C64F9A">
      <w:pPr>
        <w:shd w:val="clear" w:color="auto" w:fill="FFFFFF"/>
        <w:spacing w:before="330" w:after="165" w:line="240" w:lineRule="auto"/>
        <w:jc w:val="both"/>
        <w:outlineLvl w:val="2"/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</w:pPr>
      <w:r w:rsidRPr="004A362B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t>Gestión de Cobranza Judicial</w:t>
      </w:r>
    </w:p>
    <w:p w14:paraId="35BAE1EE" w14:textId="77777777" w:rsidR="005710DC" w:rsidRPr="004A362B" w:rsidRDefault="005710DC" w:rsidP="00C64F9A">
      <w:pPr>
        <w:shd w:val="clear" w:color="auto" w:fill="FFFFFF"/>
        <w:spacing w:after="270" w:line="240" w:lineRule="auto"/>
        <w:jc w:val="both"/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</w:pPr>
      <w:r w:rsidRPr="004A362B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>La Gestión de Conciliación judicial es el proceso mediante el cual el Grupo Bancolombia a través de abogados externos o aliados estratégicos autorizados acude ante los organismos judiciales para obtener la recuperación de las obligaciones vencidas.</w:t>
      </w:r>
    </w:p>
    <w:p w14:paraId="5D7A2679" w14:textId="77777777" w:rsidR="005710DC" w:rsidRPr="004A362B" w:rsidRDefault="005710DC" w:rsidP="00C64F9A">
      <w:pPr>
        <w:shd w:val="clear" w:color="auto" w:fill="FFFFFF"/>
        <w:spacing w:after="270" w:line="240" w:lineRule="auto"/>
        <w:jc w:val="both"/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</w:pPr>
      <w:r w:rsidRPr="004A362B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>Los gastos judiciales que se causen a lo largo del proceso estarán a cargo del cliente y se sujetarán a las tarifas que a continuación se relacionan. Su aplicación dependerá de la cuantía de la obligación y de su segmento.</w:t>
      </w:r>
    </w:p>
    <w:p w14:paraId="3222E6F2" w14:textId="77777777" w:rsidR="005710DC" w:rsidRPr="004A362B" w:rsidRDefault="005710DC" w:rsidP="00C64F9A">
      <w:pPr>
        <w:shd w:val="clear" w:color="auto" w:fill="FFFFFF"/>
        <w:spacing w:after="270" w:line="240" w:lineRule="auto"/>
        <w:jc w:val="both"/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</w:pPr>
      <w:r w:rsidRPr="004A362B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>En los procesos asignados a los abogados externos cuyo total de endeudamiento sea superior a 1000 SMLMV, los gastos judiciales serán pactados entre el abogado externo y el Grupo Bancolombia para cada proceso especifico.</w:t>
      </w:r>
    </w:p>
    <w:p w14:paraId="131A0259" w14:textId="77777777" w:rsidR="005710DC" w:rsidRPr="004A362B" w:rsidRDefault="005710DC" w:rsidP="00C64F9A">
      <w:pPr>
        <w:shd w:val="clear" w:color="auto" w:fill="FFFFFF"/>
        <w:spacing w:before="330" w:after="165" w:line="240" w:lineRule="auto"/>
        <w:jc w:val="both"/>
        <w:outlineLvl w:val="2"/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</w:pPr>
      <w:r w:rsidRPr="004A362B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t>Aliados estratégicos:</w:t>
      </w:r>
    </w:p>
    <w:p w14:paraId="67D8D617" w14:textId="41ED7500" w:rsidR="005710DC" w:rsidRPr="00D63179" w:rsidRDefault="005710DC" w:rsidP="00C64F9A">
      <w:pPr>
        <w:pBdr>
          <w:bottom w:val="single" w:sz="6" w:space="4" w:color="333333"/>
        </w:pBdr>
        <w:shd w:val="clear" w:color="auto" w:fill="FFFFFF"/>
        <w:spacing w:before="165" w:after="165" w:line="240" w:lineRule="auto"/>
        <w:jc w:val="both"/>
        <w:outlineLvl w:val="3"/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</w:pPr>
      <w:proofErr w:type="spellStart"/>
      <w:r w:rsidRPr="00D63179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t>Alt.Mora</w:t>
      </w:r>
      <w:proofErr w:type="spellEnd"/>
      <w:r w:rsidRPr="00D63179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t xml:space="preserve"> 1</w:t>
      </w:r>
    </w:p>
    <w:p w14:paraId="4DAE5033" w14:textId="3F140F0A" w:rsidR="00103C87" w:rsidRPr="004A362B" w:rsidRDefault="00103C87" w:rsidP="00C64F9A">
      <w:pPr>
        <w:pBdr>
          <w:bottom w:val="single" w:sz="6" w:space="4" w:color="333333"/>
        </w:pBdr>
        <w:shd w:val="clear" w:color="auto" w:fill="FFFFFF"/>
        <w:spacing w:before="165" w:after="165" w:line="240" w:lineRule="auto"/>
        <w:jc w:val="both"/>
        <w:outlineLvl w:val="3"/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</w:pPr>
      <w:r w:rsidRPr="00103C87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drawing>
          <wp:inline distT="0" distB="0" distL="0" distR="0" wp14:anchorId="7F91B637" wp14:editId="799D398E">
            <wp:extent cx="5612130" cy="1161415"/>
            <wp:effectExtent l="0" t="0" r="7620" b="635"/>
            <wp:docPr id="31" name="Imagen 30">
              <a:extLst xmlns:a="http://schemas.openxmlformats.org/drawingml/2006/main">
                <a:ext uri="{FF2B5EF4-FFF2-40B4-BE49-F238E27FC236}">
                  <a16:creationId xmlns:a16="http://schemas.microsoft.com/office/drawing/2014/main" id="{3FDD9B6B-E614-4CFF-AEF2-56F5172494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0">
                      <a:extLst>
                        <a:ext uri="{FF2B5EF4-FFF2-40B4-BE49-F238E27FC236}">
                          <a16:creationId xmlns:a16="http://schemas.microsoft.com/office/drawing/2014/main" id="{3FDD9B6B-E614-4CFF-AEF2-56F5172494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F05A" w14:textId="33AE82EC" w:rsidR="005710DC" w:rsidRPr="00D63179" w:rsidRDefault="005710DC" w:rsidP="00C64F9A">
      <w:pPr>
        <w:pBdr>
          <w:bottom w:val="single" w:sz="6" w:space="4" w:color="333333"/>
        </w:pBdr>
        <w:shd w:val="clear" w:color="auto" w:fill="FFFFFF"/>
        <w:spacing w:before="165" w:after="165" w:line="240" w:lineRule="auto"/>
        <w:jc w:val="both"/>
        <w:outlineLvl w:val="3"/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</w:pPr>
      <w:proofErr w:type="spellStart"/>
      <w:r w:rsidRPr="00D63179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t>Alt.Mora</w:t>
      </w:r>
      <w:proofErr w:type="spellEnd"/>
      <w:r w:rsidRPr="00D63179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t xml:space="preserve"> 2</w:t>
      </w:r>
    </w:p>
    <w:p w14:paraId="48E15480" w14:textId="65112163" w:rsidR="00103C87" w:rsidRPr="004A362B" w:rsidRDefault="00103C87" w:rsidP="00C64F9A">
      <w:pPr>
        <w:pBdr>
          <w:bottom w:val="single" w:sz="6" w:space="4" w:color="333333"/>
        </w:pBdr>
        <w:shd w:val="clear" w:color="auto" w:fill="FFFFFF"/>
        <w:spacing w:before="165" w:after="165" w:line="240" w:lineRule="auto"/>
        <w:jc w:val="both"/>
        <w:outlineLvl w:val="3"/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</w:pPr>
      <w:r w:rsidRPr="00103C87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drawing>
          <wp:inline distT="0" distB="0" distL="0" distR="0" wp14:anchorId="5D3AB292" wp14:editId="557F7E25">
            <wp:extent cx="5612130" cy="1161415"/>
            <wp:effectExtent l="0" t="0" r="7620" b="635"/>
            <wp:docPr id="39" name="Imagen 38">
              <a:extLst xmlns:a="http://schemas.openxmlformats.org/drawingml/2006/main">
                <a:ext uri="{FF2B5EF4-FFF2-40B4-BE49-F238E27FC236}">
                  <a16:creationId xmlns:a16="http://schemas.microsoft.com/office/drawing/2014/main" id="{21BE1483-B5C1-41E6-95A2-864F239D58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8">
                      <a:extLst>
                        <a:ext uri="{FF2B5EF4-FFF2-40B4-BE49-F238E27FC236}">
                          <a16:creationId xmlns:a16="http://schemas.microsoft.com/office/drawing/2014/main" id="{21BE1483-B5C1-41E6-95A2-864F239D58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78A3" w14:textId="19C51741" w:rsidR="005710DC" w:rsidRPr="00D63179" w:rsidRDefault="005710DC" w:rsidP="00D63179">
      <w:pPr>
        <w:pBdr>
          <w:bottom w:val="single" w:sz="6" w:space="4" w:color="333333"/>
        </w:pBdr>
        <w:shd w:val="clear" w:color="auto" w:fill="FFFFFF"/>
        <w:spacing w:after="0" w:line="240" w:lineRule="auto"/>
        <w:jc w:val="both"/>
        <w:outlineLvl w:val="3"/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</w:pPr>
      <w:r w:rsidRPr="00D63179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lastRenderedPageBreak/>
        <w:t>Alt. Mora 3</w:t>
      </w:r>
    </w:p>
    <w:p w14:paraId="0DBA9ACE" w14:textId="77777777" w:rsidR="00D63179" w:rsidRDefault="00D63179" w:rsidP="00D63179">
      <w:pPr>
        <w:pBdr>
          <w:bottom w:val="single" w:sz="6" w:space="4" w:color="333333"/>
        </w:pBdr>
        <w:shd w:val="clear" w:color="auto" w:fill="FFFFFF"/>
        <w:spacing w:before="165" w:after="165" w:line="240" w:lineRule="auto"/>
        <w:jc w:val="both"/>
        <w:outlineLvl w:val="3"/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</w:pPr>
      <w:r w:rsidRPr="00D63179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drawing>
          <wp:inline distT="0" distB="0" distL="0" distR="0" wp14:anchorId="4DA4E6C4" wp14:editId="1CF2FF93">
            <wp:extent cx="5612130" cy="1161415"/>
            <wp:effectExtent l="0" t="0" r="7620" b="635"/>
            <wp:docPr id="42" name="Imagen 41">
              <a:extLst xmlns:a="http://schemas.openxmlformats.org/drawingml/2006/main">
                <a:ext uri="{FF2B5EF4-FFF2-40B4-BE49-F238E27FC236}">
                  <a16:creationId xmlns:a16="http://schemas.microsoft.com/office/drawing/2014/main" id="{40BF6D4A-0FF2-42F4-9B0B-A4DD0B857B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1">
                      <a:extLst>
                        <a:ext uri="{FF2B5EF4-FFF2-40B4-BE49-F238E27FC236}">
                          <a16:creationId xmlns:a16="http://schemas.microsoft.com/office/drawing/2014/main" id="{40BF6D4A-0FF2-42F4-9B0B-A4DD0B857B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78E6B" w14:textId="57E88170" w:rsidR="00D63179" w:rsidRDefault="005710DC" w:rsidP="00D63179">
      <w:pPr>
        <w:pBdr>
          <w:bottom w:val="single" w:sz="6" w:space="4" w:color="333333"/>
        </w:pBdr>
        <w:shd w:val="clear" w:color="auto" w:fill="FFFFFF"/>
        <w:spacing w:before="165" w:after="165" w:line="240" w:lineRule="auto"/>
        <w:jc w:val="both"/>
        <w:outlineLvl w:val="3"/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</w:pPr>
      <w:r w:rsidRPr="004A362B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t>Gastos judiciales por reestructuración:</w:t>
      </w:r>
      <w:r w:rsidRPr="004A36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s-CO"/>
        </w:rPr>
        <w:t> </w:t>
      </w:r>
      <w:r w:rsidRPr="004A362B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>Los porcentajes aquí descritos aplican sobre el valor pagado. A falta de este, se cobrará una tarifa única equivalente a medio SMMLV.</w:t>
      </w:r>
    </w:p>
    <w:p w14:paraId="6CFF3EAF" w14:textId="7A0F2CD3" w:rsidR="005710DC" w:rsidRPr="004A362B" w:rsidRDefault="005710DC" w:rsidP="00D63179">
      <w:pPr>
        <w:pBdr>
          <w:bottom w:val="single" w:sz="6" w:space="4" w:color="333333"/>
        </w:pBdr>
        <w:shd w:val="clear" w:color="auto" w:fill="FFFFFF"/>
        <w:spacing w:before="165" w:after="165" w:line="240" w:lineRule="auto"/>
        <w:jc w:val="both"/>
        <w:outlineLvl w:val="3"/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</w:pPr>
      <w:r w:rsidRPr="004A362B">
        <w:rPr>
          <w:rFonts w:ascii="CIBFont Sans Light" w:eastAsia="Times New Roman" w:hAnsi="CIBFont Sans Light" w:cs="Arial"/>
          <w:b/>
          <w:bCs/>
          <w:color w:val="333333"/>
          <w:sz w:val="24"/>
          <w:szCs w:val="24"/>
          <w:lang w:eastAsia="es-CO"/>
        </w:rPr>
        <w:t>IMPORTANTE:</w:t>
      </w:r>
      <w:r w:rsidRPr="004A362B">
        <w:rPr>
          <w:rFonts w:ascii="Calibri" w:eastAsia="Times New Roman" w:hAnsi="Calibri" w:cs="Calibri"/>
          <w:color w:val="333333"/>
          <w:sz w:val="24"/>
          <w:szCs w:val="24"/>
          <w:lang w:eastAsia="es-CO"/>
        </w:rPr>
        <w:t> </w:t>
      </w:r>
      <w:r w:rsidRPr="004A362B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>Los gastos judiciales aqu</w:t>
      </w:r>
      <w:r w:rsidRPr="004A362B">
        <w:rPr>
          <w:rFonts w:ascii="CIBFont Sans Light" w:eastAsia="Times New Roman" w:hAnsi="CIBFont Sans Light" w:cs="CIBFont Sans Light"/>
          <w:color w:val="333333"/>
          <w:sz w:val="24"/>
          <w:szCs w:val="24"/>
          <w:lang w:eastAsia="es-CO"/>
        </w:rPr>
        <w:t>í</w:t>
      </w:r>
      <w:r w:rsidRPr="004A362B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 xml:space="preserve"> descritos son aplicados a los clientes cuyo Segmento es Personas, Pyme, Banca Empresas. No se incluyen clientes del Segmento Gobierno, ni clientes cuyo producto sea de la l</w:t>
      </w:r>
      <w:r w:rsidRPr="004A362B">
        <w:rPr>
          <w:rFonts w:ascii="CIBFont Sans Light" w:eastAsia="Times New Roman" w:hAnsi="CIBFont Sans Light" w:cs="CIBFont Sans Light"/>
          <w:color w:val="333333"/>
          <w:sz w:val="24"/>
          <w:szCs w:val="24"/>
          <w:lang w:eastAsia="es-CO"/>
        </w:rPr>
        <w:t>í</w:t>
      </w:r>
      <w:r w:rsidRPr="004A362B">
        <w:rPr>
          <w:rFonts w:ascii="CIBFont Sans Light" w:eastAsia="Times New Roman" w:hAnsi="CIBFont Sans Light" w:cs="Arial"/>
          <w:color w:val="333333"/>
          <w:sz w:val="24"/>
          <w:szCs w:val="24"/>
          <w:lang w:eastAsia="es-CO"/>
        </w:rPr>
        <w:t>nea de negocio Sufi, ni otro tipo de procesos judiciales diferentes a la gestión de cobranza.</w:t>
      </w:r>
    </w:p>
    <w:p w14:paraId="617B4BDE" w14:textId="77777777" w:rsidR="00501FFC" w:rsidRPr="004A362B" w:rsidRDefault="000E2CBC" w:rsidP="00C64F9A">
      <w:pPr>
        <w:jc w:val="both"/>
        <w:rPr>
          <w:rFonts w:ascii="CIBFont Sans Light" w:hAnsi="CIBFont Sans Light" w:cs="Arial"/>
          <w:sz w:val="24"/>
          <w:szCs w:val="24"/>
        </w:rPr>
      </w:pPr>
    </w:p>
    <w:sectPr w:rsidR="00501FFC" w:rsidRPr="004A362B" w:rsidSect="00D6317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38C7" w14:textId="77777777" w:rsidR="00AA1A32" w:rsidRDefault="00AA1A32" w:rsidP="00AA1A32">
      <w:pPr>
        <w:spacing w:after="0" w:line="240" w:lineRule="auto"/>
      </w:pPr>
      <w:r>
        <w:separator/>
      </w:r>
    </w:p>
  </w:endnote>
  <w:endnote w:type="continuationSeparator" w:id="0">
    <w:p w14:paraId="10705599" w14:textId="77777777" w:rsidR="00AA1A32" w:rsidRDefault="00AA1A32" w:rsidP="00AA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BFont Sans Light">
    <w:panose1 w:val="020B06030202020201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801B" w14:textId="77777777" w:rsidR="00AA1A32" w:rsidRDefault="00AA1A32" w:rsidP="00AA1A32">
      <w:pPr>
        <w:spacing w:after="0" w:line="240" w:lineRule="auto"/>
      </w:pPr>
      <w:r>
        <w:separator/>
      </w:r>
    </w:p>
  </w:footnote>
  <w:footnote w:type="continuationSeparator" w:id="0">
    <w:p w14:paraId="10624858" w14:textId="77777777" w:rsidR="00AA1A32" w:rsidRDefault="00AA1A32" w:rsidP="00AA1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57"/>
    <w:rsid w:val="00084F43"/>
    <w:rsid w:val="000E2CBC"/>
    <w:rsid w:val="00103C87"/>
    <w:rsid w:val="002A08D3"/>
    <w:rsid w:val="00361CE5"/>
    <w:rsid w:val="004A362B"/>
    <w:rsid w:val="005710DC"/>
    <w:rsid w:val="00620D01"/>
    <w:rsid w:val="009B5957"/>
    <w:rsid w:val="00A574EB"/>
    <w:rsid w:val="00AA1A32"/>
    <w:rsid w:val="00B635DB"/>
    <w:rsid w:val="00C64F9A"/>
    <w:rsid w:val="00D6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F89ED"/>
  <w15:chartTrackingRefBased/>
  <w15:docId w15:val="{654FB0BB-533A-469F-AF27-C98AF3F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7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571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5710D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5710DC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7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bt-content">
    <w:name w:val="bt-content"/>
    <w:basedOn w:val="Fuentedeprrafopredeter"/>
    <w:rsid w:val="005710DC"/>
  </w:style>
  <w:style w:type="character" w:styleId="Textoennegrita">
    <w:name w:val="Strong"/>
    <w:basedOn w:val="Fuentedeprrafopredeter"/>
    <w:uiPriority w:val="22"/>
    <w:qFormat/>
    <w:rsid w:val="00571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Gastos Generados por la Gestión de Cobranza Prejudicial</vt:lpstr>
      <vt:lpstr>        Gestión de Cobranza Judicial</vt:lpstr>
      <vt:lpstr>        Aliados estratégicos:</vt:lpstr>
    </vt:vector>
  </TitlesOfParts>
  <Company>Bancolombia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Jimenez Henao</dc:creator>
  <cp:keywords/>
  <dc:description/>
  <cp:lastModifiedBy>Daniela Jimenez Henao</cp:lastModifiedBy>
  <cp:revision>10</cp:revision>
  <dcterms:created xsi:type="dcterms:W3CDTF">2023-01-04T17:01:00Z</dcterms:created>
  <dcterms:modified xsi:type="dcterms:W3CDTF">2023-01-06T21:44:00Z</dcterms:modified>
</cp:coreProperties>
</file>